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ind w:left="0" w:right="0" w:firstLine="0"/>
        <w:rPr/>
      </w:pPr>
      <w:bookmarkStart w:colFirst="0" w:colLast="0" w:name="_2aenzppscxlh" w:id="0"/>
      <w:bookmarkEnd w:id="0"/>
      <w:r w:rsidDel="00000000" w:rsidR="00000000" w:rsidRPr="00000000">
        <w:rPr>
          <w:rtl w:val="0"/>
        </w:rPr>
        <w:t xml:space="preserve">Checklist: Health-literacy friendly resources</w:t>
      </w:r>
    </w:p>
    <w:p w:rsidR="00000000" w:rsidDel="00000000" w:rsidP="00000000" w:rsidRDefault="00000000" w:rsidRPr="00000000" w14:paraId="00000002">
      <w:pPr>
        <w:ind w:left="0" w:right="0" w:firstLine="0"/>
        <w:rPr/>
      </w:pPr>
      <w:r w:rsidDel="00000000" w:rsidR="00000000" w:rsidRPr="00000000">
        <w:rPr>
          <w:rtl w:val="0"/>
        </w:rPr>
        <w:t xml:space="preserve">This list offers some simple tips to make resources more health-literacy friendly. It is designed to be a starting point. You sh</w:t>
      </w:r>
      <w:r w:rsidDel="00000000" w:rsidR="00000000" w:rsidRPr="00000000">
        <w:rPr>
          <w:rtl w:val="0"/>
        </w:rPr>
        <w:t xml:space="preserve">ould </w:t>
      </w:r>
      <w:r w:rsidDel="00000000" w:rsidR="00000000" w:rsidRPr="00000000">
        <w:rPr>
          <w:rtl w:val="0"/>
        </w:rPr>
        <w:t xml:space="preserve">work with users throughout the creation of a resource to identify need and make sure your final output is appropriate and useful.</w:t>
      </w:r>
    </w:p>
    <w:p w:rsidR="00000000" w:rsidDel="00000000" w:rsidP="00000000" w:rsidRDefault="00000000" w:rsidRPr="00000000" w14:paraId="00000003">
      <w:pPr>
        <w:pStyle w:val="Heading2"/>
        <w:ind w:left="0" w:right="0" w:firstLine="0"/>
        <w:rPr/>
      </w:pPr>
      <w:bookmarkStart w:colFirst="0" w:colLast="0" w:name="_5edvjapcsvs4" w:id="1"/>
      <w:bookmarkEnd w:id="1"/>
      <w:r w:rsidDel="00000000" w:rsidR="00000000" w:rsidRPr="00000000">
        <w:rPr>
          <w:rtl w:val="0"/>
        </w:rPr>
        <w:t xml:space="preserve">Readability tool checks</w:t>
      </w:r>
    </w:p>
    <w:p w:rsidR="00000000" w:rsidDel="00000000" w:rsidP="00000000" w:rsidRDefault="00000000" w:rsidRPr="00000000" w14:paraId="00000004">
      <w:pPr>
        <w:ind w:left="0" w:right="0" w:firstLine="0"/>
        <w:rPr/>
      </w:pPr>
      <w:r w:rsidDel="00000000" w:rsidR="00000000" w:rsidRPr="00000000">
        <w:rPr>
          <w:rtl w:val="0"/>
        </w:rPr>
        <w:t xml:space="preserve">Readability tools can run some automatic checks for you. Hemmingway was the most popular tool in a survey of PIF members. </w:t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05"/>
        <w:gridCol w:w="5925"/>
        <w:gridCol w:w="1530"/>
        <w:tblGridChange w:id="0">
          <w:tblGrid>
            <w:gridCol w:w="1905"/>
            <w:gridCol w:w="5925"/>
            <w:gridCol w:w="15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Check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Completed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Reading 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Aim for a reading age of 9-11 years old for patient-facing resources</w:t>
            </w:r>
            <w:r w:rsidDel="00000000" w:rsidR="00000000" w:rsidRPr="00000000">
              <w:rPr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Sentence length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Keep sentences short. Aim for 15 words per sentence.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Active voice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Use the active voice where possible. This makes sentences easier to understand. Active sentences also have more impact.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</w:tbl>
    <w:p w:rsidR="00000000" w:rsidDel="00000000" w:rsidP="00000000" w:rsidRDefault="00000000" w:rsidRPr="00000000" w14:paraId="00000011">
      <w:pPr>
        <w:pStyle w:val="Heading3"/>
        <w:spacing w:before="200" w:lineRule="auto"/>
        <w:ind w:left="0" w:right="0" w:firstLine="0"/>
        <w:rPr/>
      </w:pPr>
      <w:bookmarkStart w:colFirst="0" w:colLast="0" w:name="_fah86vtfyvgb" w:id="2"/>
      <w:bookmarkEnd w:id="2"/>
      <w:r w:rsidDel="00000000" w:rsidR="00000000" w:rsidRPr="00000000">
        <w:rPr>
          <w:rtl w:val="0"/>
        </w:rPr>
        <w:t xml:space="preserve">Examples of active and passive voice</w:t>
      </w:r>
    </w:p>
    <w:p w:rsidR="00000000" w:rsidDel="00000000" w:rsidP="00000000" w:rsidRDefault="00000000" w:rsidRPr="00000000" w14:paraId="00000012">
      <w:pPr>
        <w:spacing w:before="0" w:lineRule="auto"/>
        <w:ind w:left="0" w:right="0" w:firstLine="0"/>
        <w:rPr/>
      </w:pPr>
      <w:r w:rsidDel="00000000" w:rsidR="00000000" w:rsidRPr="00000000">
        <w:rPr>
          <w:rtl w:val="0"/>
        </w:rPr>
        <w:t xml:space="preserve">Active: “The doctor writes prescriptions.” </w:t>
      </w:r>
    </w:p>
    <w:p w:rsidR="00000000" w:rsidDel="00000000" w:rsidP="00000000" w:rsidRDefault="00000000" w:rsidRPr="00000000" w14:paraId="00000013">
      <w:pPr>
        <w:spacing w:before="0" w:lineRule="auto"/>
        <w:ind w:left="0" w:right="0" w:firstLine="0"/>
        <w:rPr/>
      </w:pPr>
      <w:r w:rsidDel="00000000" w:rsidR="00000000" w:rsidRPr="00000000">
        <w:rPr>
          <w:rtl w:val="0"/>
        </w:rPr>
        <w:t xml:space="preserve">Passive: “Prescriptions are written by the doctor.”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ind w:left="0" w:right="0" w:firstLine="0"/>
        <w:rPr/>
      </w:pPr>
      <w:bookmarkStart w:colFirst="0" w:colLast="0" w:name="_8n71c941mpt" w:id="3"/>
      <w:bookmarkEnd w:id="3"/>
      <w:r w:rsidDel="00000000" w:rsidR="00000000" w:rsidRPr="00000000">
        <w:rPr>
          <w:rtl w:val="0"/>
        </w:rPr>
        <w:t xml:space="preserve">Accessibility</w:t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60"/>
        <w:gridCol w:w="5970"/>
        <w:gridCol w:w="1530"/>
        <w:tblGridChange w:id="0">
          <w:tblGrid>
            <w:gridCol w:w="1860"/>
            <w:gridCol w:w="5970"/>
            <w:gridCol w:w="15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Check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Completed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Font size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Use a minimum font size of 12pt. It is good practice to have large print available on request. This is 16pt Arial or bigger.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Colour contrast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Use high colour contrasts. These are easier to read. Alternative contrasts, like black text on a yellow background, may also be helpful for some users</w:t>
            </w:r>
            <w:r w:rsidDel="00000000" w:rsidR="00000000" w:rsidRPr="00000000">
              <w:rPr>
                <w:vertAlign w:val="superscript"/>
              </w:rPr>
              <w:footnoteReference w:customMarkFollows="0" w:id="1"/>
            </w:r>
            <w:r w:rsidDel="00000000" w:rsidR="00000000" w:rsidRPr="00000000">
              <w:rPr>
                <w:rtl w:val="0"/>
              </w:rPr>
              <w:t xml:space="preserve">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Images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Include descriptions of any images used in a res</w:t>
            </w:r>
            <w:r w:rsidDel="00000000" w:rsidR="00000000" w:rsidRPr="00000000">
              <w:rPr>
                <w:rtl w:val="0"/>
              </w:rPr>
              <w:t xml:space="preserve">ource.</w:t>
            </w:r>
            <w:r w:rsidDel="00000000" w:rsidR="00000000" w:rsidRPr="00000000">
              <w:rPr>
                <w:rtl w:val="0"/>
              </w:rPr>
              <w:t xml:space="preserve">Consider how images might be interpreted by those with low health literacy.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</w:tbl>
    <w:p w:rsidR="00000000" w:rsidDel="00000000" w:rsidP="00000000" w:rsidRDefault="00000000" w:rsidRPr="00000000" w14:paraId="00000021">
      <w:pPr>
        <w:spacing w:before="200" w:lineRule="auto"/>
        <w:ind w:left="0" w:right="0" w:firstLine="0"/>
        <w:jc w:val="center"/>
        <w:rPr>
          <w:color w:val="b7b7b7"/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High colour contrast</w:t>
      </w:r>
      <w:r w:rsidDel="00000000" w:rsidR="00000000" w:rsidRPr="00000000">
        <w:rPr>
          <w:sz w:val="32"/>
          <w:szCs w:val="32"/>
          <w:rtl w:val="0"/>
        </w:rPr>
        <w:t xml:space="preserve"> </w:t>
        <w:tab/>
      </w:r>
      <w:r w:rsidDel="00000000" w:rsidR="00000000" w:rsidRPr="00000000">
        <w:rPr>
          <w:color w:val="b7b7b7"/>
          <w:sz w:val="32"/>
          <w:szCs w:val="32"/>
          <w:rtl w:val="0"/>
        </w:rPr>
        <w:t xml:space="preserve">Low colour contrast</w:t>
      </w:r>
    </w:p>
    <w:p w:rsidR="00000000" w:rsidDel="00000000" w:rsidP="00000000" w:rsidRDefault="00000000" w:rsidRPr="00000000" w14:paraId="00000022">
      <w:pPr>
        <w:pStyle w:val="Heading2"/>
        <w:ind w:left="0" w:right="0" w:firstLine="0"/>
        <w:rPr/>
        <w:sectPr>
          <w:headerReference r:id="rId7" w:type="default"/>
          <w:headerReference r:id="rId8" w:type="first"/>
          <w:footerReference r:id="rId9" w:type="default"/>
          <w:footerReference r:id="rId10" w:type="first"/>
          <w:pgSz w:h="15840" w:w="12240" w:orient="portrait"/>
          <w:pgMar w:bottom="1440" w:top="1440" w:left="1440" w:right="1440" w:header="72" w:footer="720"/>
          <w:pgNumType w:start="1"/>
          <w:titlePg w:val="1"/>
        </w:sectPr>
      </w:pPr>
      <w:bookmarkStart w:colFirst="0" w:colLast="0" w:name="_1l2qx2a2coif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Style w:val="Heading2"/>
        <w:ind w:left="0" w:right="0" w:firstLine="0"/>
        <w:rPr/>
      </w:pPr>
      <w:bookmarkStart w:colFirst="0" w:colLast="0" w:name="_m3gs9jfmyjd0" w:id="5"/>
      <w:bookmarkEnd w:id="5"/>
      <w:r w:rsidDel="00000000" w:rsidR="00000000" w:rsidRPr="00000000">
        <w:rPr>
          <w:rtl w:val="0"/>
        </w:rPr>
        <w:t xml:space="preserve">Language</w:t>
      </w:r>
    </w:p>
    <w:tbl>
      <w:tblPr>
        <w:tblStyle w:val="Table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30"/>
        <w:gridCol w:w="6000"/>
        <w:gridCol w:w="1530"/>
        <w:tblGridChange w:id="0">
          <w:tblGrid>
            <w:gridCol w:w="1830"/>
            <w:gridCol w:w="6000"/>
            <w:gridCol w:w="15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Check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after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Completed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Tone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User test to make sure the language you use and tone is appropriate for your audie</w:t>
            </w:r>
            <w:r w:rsidDel="00000000" w:rsidR="00000000" w:rsidRPr="00000000">
              <w:rPr>
                <w:rtl w:val="0"/>
              </w:rPr>
              <w:t xml:space="preserve">nc</w:t>
            </w:r>
            <w:r w:rsidDel="00000000" w:rsidR="00000000" w:rsidRPr="00000000">
              <w:rPr>
                <w:rtl w:val="0"/>
              </w:rPr>
              <w:t xml:space="preserve">e.</w:t>
            </w:r>
            <w:r w:rsidDel="00000000" w:rsidR="00000000" w:rsidRPr="00000000">
              <w:rPr>
                <w:rtl w:val="0"/>
              </w:rPr>
              <w:t xml:space="preserve"> Check your tone does not sound judgemental.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Colloquialisms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Avoid colloquial language. It can make information harder to understand.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Inclusive language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Do not make assumptions about the needs of your audience. Ask them what they want.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Misinformation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Search to see if there is misinformation on a topic you need to address. For example, around BMI or vaccination.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</w:tbl>
    <w:p w:rsidR="00000000" w:rsidDel="00000000" w:rsidP="00000000" w:rsidRDefault="00000000" w:rsidRPr="00000000" w14:paraId="00000033">
      <w:pPr>
        <w:pStyle w:val="Heading2"/>
        <w:ind w:left="0" w:right="0" w:firstLine="0"/>
        <w:rPr/>
      </w:pPr>
      <w:bookmarkStart w:colFirst="0" w:colLast="0" w:name="_e0ntz23p8a19" w:id="6"/>
      <w:bookmarkEnd w:id="6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Style w:val="Heading2"/>
        <w:ind w:left="0" w:right="0" w:firstLine="0"/>
        <w:rPr/>
      </w:pPr>
      <w:bookmarkStart w:colFirst="0" w:colLast="0" w:name="_200klmviawv9" w:id="7"/>
      <w:bookmarkEnd w:id="7"/>
      <w:r w:rsidDel="00000000" w:rsidR="00000000" w:rsidRPr="00000000">
        <w:rPr>
          <w:rtl w:val="0"/>
        </w:rPr>
        <w:t xml:space="preserve">Risks and benefits</w:t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60"/>
        <w:gridCol w:w="5970"/>
        <w:gridCol w:w="1530"/>
        <w:tblGridChange w:id="0">
          <w:tblGrid>
            <w:gridCol w:w="1860"/>
            <w:gridCol w:w="5970"/>
            <w:gridCol w:w="15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Check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Completed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Numbers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Use numbers not percentages. For example, “1 in 10 people” not “10%”.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Absolute risk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Use absolute rather than relative risk. Relative risk can be misleading.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Graphics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Graphics can be a useful way to present data but they can be inaccessible for people who use tools like screenreaders. Include information in different formats and add descriptions.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</w:tbl>
    <w:p w:rsidR="00000000" w:rsidDel="00000000" w:rsidP="00000000" w:rsidRDefault="00000000" w:rsidRPr="00000000" w14:paraId="00000041">
      <w:pPr>
        <w:pStyle w:val="Heading3"/>
        <w:ind w:left="0" w:right="0" w:firstLine="0"/>
        <w:rPr/>
      </w:pPr>
      <w:bookmarkStart w:colFirst="0" w:colLast="0" w:name="_o3lt9epkonz" w:id="8"/>
      <w:bookmarkEnd w:id="8"/>
      <w:r w:rsidDel="00000000" w:rsidR="00000000" w:rsidRPr="00000000">
        <w:rPr>
          <w:rtl w:val="0"/>
        </w:rPr>
        <w:t xml:space="preserve">Examples of absolute and relative risk</w:t>
      </w:r>
    </w:p>
    <w:p w:rsidR="00000000" w:rsidDel="00000000" w:rsidP="00000000" w:rsidRDefault="00000000" w:rsidRPr="00000000" w14:paraId="00000042">
      <w:pPr>
        <w:ind w:left="0" w:right="0" w:firstLine="0"/>
        <w:rPr/>
      </w:pPr>
      <w:r w:rsidDel="00000000" w:rsidR="00000000" w:rsidRPr="00000000">
        <w:rPr>
          <w:rtl w:val="0"/>
        </w:rPr>
        <w:t xml:space="preserve">Absolute risk: “The risk of heart attack increases from 1 in 100 to 2 in 100. </w:t>
      </w:r>
    </w:p>
    <w:p w:rsidR="00000000" w:rsidDel="00000000" w:rsidP="00000000" w:rsidRDefault="00000000" w:rsidRPr="00000000" w14:paraId="00000043">
      <w:pPr>
        <w:ind w:left="0" w:right="0" w:firstLine="0"/>
        <w:rPr>
          <w:color w:val="b7b7b7"/>
          <w:sz w:val="32"/>
          <w:szCs w:val="32"/>
        </w:rPr>
      </w:pPr>
      <w:r w:rsidDel="00000000" w:rsidR="00000000" w:rsidRPr="00000000">
        <w:rPr>
          <w:rtl w:val="0"/>
        </w:rPr>
        <w:t xml:space="preserve">Relative risk: “The risk of heart attack doubles.”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Style w:val="Heading2"/>
        <w:ind w:left="0" w:right="0" w:firstLine="0"/>
        <w:rPr/>
      </w:pPr>
      <w:bookmarkStart w:colFirst="0" w:colLast="0" w:name="_xwfvt0hfl99l" w:id="9"/>
      <w:bookmarkEnd w:id="9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Style w:val="Heading2"/>
        <w:ind w:left="0" w:right="0" w:firstLine="0"/>
        <w:rPr/>
      </w:pPr>
      <w:bookmarkStart w:colFirst="0" w:colLast="0" w:name="_b4j7fyig5q25" w:id="10"/>
      <w:bookmarkEnd w:id="10"/>
      <w:r w:rsidDel="00000000" w:rsidR="00000000" w:rsidRPr="00000000">
        <w:rPr>
          <w:rtl w:val="0"/>
        </w:rPr>
        <w:t xml:space="preserve">Other checks</w:t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95"/>
        <w:gridCol w:w="6210"/>
        <w:gridCol w:w="1455"/>
        <w:tblGridChange w:id="0">
          <w:tblGrid>
            <w:gridCol w:w="1695"/>
            <w:gridCol w:w="6210"/>
            <w:gridCol w:w="145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Check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Completed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Acronyms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Avoid acronyms and jargon. If you do have to use them, include an explanation.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Alternative formats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You may need to present your resource in more than one format to engage different audiences.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Glossaries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 glossary can help explain medical terms. But the word “glossary” can be hard to understand. Consider other titles. For example: “About the words in this guide.”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Key point summaries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Including a key point summary at the start of resources can aid understanding.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Negative contractions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Avoid negative contractions. These are words like “don’t”. They can make text harder to understand.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Space-saving devices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Avoid space-saving devices. These are things like “and/or”. They can make text harder to read.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after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Question and answer formats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Question headings can help people navigate your resource.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after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Y/N</w:t>
            </w:r>
          </w:p>
        </w:tc>
      </w:tr>
    </w:tbl>
    <w:p w:rsidR="00000000" w:rsidDel="00000000" w:rsidP="00000000" w:rsidRDefault="00000000" w:rsidRPr="00000000" w14:paraId="0000005E">
      <w:pPr>
        <w:pStyle w:val="Heading2"/>
        <w:ind w:left="0" w:right="0" w:firstLine="0"/>
        <w:rPr/>
      </w:pPr>
      <w:bookmarkStart w:colFirst="0" w:colLast="0" w:name="_tzo833vdw8la" w:id="11"/>
      <w:bookmarkEnd w:id="11"/>
      <w:r w:rsidDel="00000000" w:rsidR="00000000" w:rsidRPr="00000000">
        <w:rPr>
          <w:rtl w:val="0"/>
        </w:rPr>
        <w:t xml:space="preserve">Additional resources</w:t>
      </w:r>
    </w:p>
    <w:p w:rsidR="00000000" w:rsidDel="00000000" w:rsidP="00000000" w:rsidRDefault="00000000" w:rsidRPr="00000000" w14:paraId="0000005F">
      <w:pPr>
        <w:ind w:left="0" w:right="0" w:firstLine="0"/>
        <w:rPr/>
      </w:pPr>
      <w:r w:rsidDel="00000000" w:rsidR="00000000" w:rsidRPr="00000000">
        <w:rPr>
          <w:rtl w:val="0"/>
        </w:rPr>
        <w:t xml:space="preserve">Want to know more about health literacy? Check out our poster series: </w:t>
      </w: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pifonline.org.uk/resources/posters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60">
      <w:pPr>
        <w:ind w:left="0" w:right="0" w:firstLine="0"/>
        <w:rPr/>
      </w:pPr>
      <w:r w:rsidDel="00000000" w:rsidR="00000000" w:rsidRPr="00000000">
        <w:rPr>
          <w:rtl w:val="0"/>
        </w:rPr>
        <w:t xml:space="preserve">Topics include health literacy, co-production, translation, accessibility, Easy Read and inclusive language. PIF members can find more detailed guidance at </w:t>
      </w: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pifonline.org.uk/resources/how-to-guides</w:t>
        </w:r>
      </w:hyperlink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61">
      <w:pPr>
        <w:ind w:left="0" w:right="0" w:firstLine="0"/>
        <w:rPr/>
      </w:pPr>
      <w:r w:rsidDel="00000000" w:rsidR="00000000" w:rsidRPr="00000000">
        <w:rPr>
          <w:rtl w:val="0"/>
        </w:rPr>
        <w:t xml:space="preserve">Access the NHS Health LIteracy Toolkit at </w:t>
      </w: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library.nhs.uk/wp-content/uploads/sites/4/2023/06/Health-Literacy-Toolkit.pdf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Style w:val="Heading3"/>
        <w:ind w:left="0" w:right="0" w:firstLine="0"/>
        <w:rPr/>
      </w:pPr>
      <w:bookmarkStart w:colFirst="0" w:colLast="0" w:name="_emil2p7so163" w:id="12"/>
      <w:bookmarkEnd w:id="12"/>
      <w:r w:rsidDel="00000000" w:rsidR="00000000" w:rsidRPr="00000000">
        <w:rPr>
          <w:rtl w:val="0"/>
        </w:rPr>
        <w:t xml:space="preserve">Feedback</w:t>
      </w:r>
    </w:p>
    <w:p w:rsidR="00000000" w:rsidDel="00000000" w:rsidP="00000000" w:rsidRDefault="00000000" w:rsidRPr="00000000" w14:paraId="00000063">
      <w:pPr>
        <w:ind w:left="0" w:right="0" w:firstLine="0"/>
        <w:rPr/>
      </w:pPr>
      <w:r w:rsidDel="00000000" w:rsidR="00000000" w:rsidRPr="00000000">
        <w:rPr>
          <w:rtl w:val="0"/>
        </w:rPr>
        <w:t xml:space="preserve">This resource was requested by, and developed with, PIF members. If you have any feedback please email </w:t>
      </w: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info@pifonline.org.uk</w:t>
        </w:r>
      </w:hyperlink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  <w:t xml:space="preserve"> </w:t>
      </w:r>
    </w:p>
    <w:sectPr>
      <w:type w:val="nextPage"/>
      <w:pgSz w:h="15840" w:w="12240" w:orient="portrait"/>
      <w:pgMar w:bottom="1440" w:top="1440" w:left="1440" w:right="1440" w:header="72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ind w:left="0" w:right="0" w:firstLine="0"/>
      <w:rPr/>
    </w:pPr>
    <w:r w:rsidDel="00000000" w:rsidR="00000000" w:rsidRPr="00000000">
      <w:rPr>
        <w:rtl w:val="0"/>
      </w:rPr>
      <w:t xml:space="preserve">Published: February 2024 Review date: February 2027</w:t>
      <w:tab/>
      <w:tab/>
      <w:tab/>
      <w:tab/>
    </w: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8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hyperlink r:id="rId1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https://service-manual.nhs.uk/content/how-we-write</w:t>
        </w:r>
      </w:hyperlink>
      <w:r w:rsidDel="00000000" w:rsidR="00000000" w:rsidRPr="00000000">
        <w:rPr>
          <w:sz w:val="20"/>
          <w:szCs w:val="20"/>
          <w:rtl w:val="0"/>
        </w:rPr>
        <w:t xml:space="preserve"> </w:t>
      </w:r>
    </w:p>
  </w:footnote>
  <w:footnote w:id="1">
    <w:p w:rsidR="00000000" w:rsidDel="00000000" w:rsidP="00000000" w:rsidRDefault="00000000" w:rsidRPr="00000000" w14:paraId="00000069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</w:t>
      </w:r>
      <w:hyperlink r:id="rId2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https://abilitynet.org.uk/factsheets/creating-accessible-documents-0</w:t>
        </w:r>
      </w:hyperlink>
      <w:r w:rsidDel="00000000" w:rsidR="00000000" w:rsidRPr="00000000">
        <w:rPr>
          <w:sz w:val="20"/>
          <w:szCs w:val="20"/>
          <w:rtl w:val="0"/>
        </w:rPr>
        <w:t xml:space="preserve"> 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4">
    <w:pPr>
      <w:rPr/>
    </w:pPr>
    <w:r w:rsidDel="00000000" w:rsidR="00000000" w:rsidRPr="00000000">
      <w:rPr>
        <w:rtl w:val="0"/>
      </w:rPr>
      <w:tab/>
      <w:tab/>
      <w:tab/>
      <w:tab/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rPr/>
    </w:pPr>
    <w:r w:rsidDel="00000000" w:rsidR="00000000" w:rsidRPr="00000000">
      <w:rPr/>
      <w:drawing>
        <wp:inline distB="114300" distT="114300" distL="114300" distR="114300">
          <wp:extent cx="2377440" cy="1008611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377440" cy="100861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  <w:tab/>
      <w:tab/>
      <w:tab/>
      <w:tab/>
      <w:t xml:space="preserve">        </w:t>
    </w:r>
    <w:r w:rsidDel="00000000" w:rsidR="00000000" w:rsidRPr="00000000">
      <w:rPr/>
      <w:drawing>
        <wp:inline distB="114300" distT="114300" distL="114300" distR="114300">
          <wp:extent cx="2194560" cy="11887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94560" cy="11887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en_GB"/>
      </w:rPr>
    </w:rPrDefault>
    <w:pPrDefault>
      <w:pPr>
        <w:spacing w:after="200" w:line="276" w:lineRule="auto"/>
        <w:ind w:left="-720" w:right="-450" w:firstLine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200" w:before="480" w:line="276" w:lineRule="auto"/>
      <w:ind w:left="-1440" w:right="-450" w:firstLine="0"/>
    </w:pPr>
    <w:rPr>
      <w:rFonts w:ascii="Arial" w:cs="Arial" w:eastAsia="Arial" w:hAnsi="Arial"/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pifonline.org.uk/resources/posters/" TargetMode="External"/><Relationship Id="rId10" Type="http://schemas.openxmlformats.org/officeDocument/2006/relationships/footer" Target="footer1.xml"/><Relationship Id="rId13" Type="http://schemas.openxmlformats.org/officeDocument/2006/relationships/hyperlink" Target="https://library.nhs.uk/wp-content/uploads/sites/4/2023/06/Health-Literacy-Toolkit.pdf" TargetMode="External"/><Relationship Id="rId12" Type="http://schemas.openxmlformats.org/officeDocument/2006/relationships/hyperlink" Target="https://pifonline.org.uk/resources/how-to-guides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yperlink" Target="mailto:info@pifonline.org.uk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notes.xml.rels><?xml version="1.0" encoding="UTF-8" standalone="yes"?><Relationships xmlns="http://schemas.openxmlformats.org/package/2006/relationships"><Relationship Id="rId1" Type="http://schemas.openxmlformats.org/officeDocument/2006/relationships/hyperlink" Target="https://service-manual.nhs.uk/content/how-we-write" TargetMode="External"/><Relationship Id="rId2" Type="http://schemas.openxmlformats.org/officeDocument/2006/relationships/hyperlink" Target="https://abilitynet.org.uk/factsheets/creating-accessible-documents-0" TargetMode="Externa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